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附件1</w:t>
      </w:r>
    </w:p>
    <w:p>
      <w:pPr>
        <w:spacing w:line="560" w:lineRule="exact"/>
        <w:jc w:val="center"/>
        <w:rPr>
          <w:rFonts w:ascii="黑体" w:hAnsi="黑体" w:eastAsia="黑体" w:cs="宋体"/>
          <w:b/>
          <w:sz w:val="30"/>
          <w:szCs w:val="30"/>
        </w:rPr>
      </w:pPr>
      <w:r>
        <w:rPr>
          <w:rFonts w:hint="eastAsia" w:ascii="黑体" w:hAnsi="黑体" w:eastAsia="黑体" w:cs="宋体"/>
          <w:b/>
          <w:sz w:val="30"/>
          <w:szCs w:val="30"/>
        </w:rPr>
        <w:t>攀枝花学院刚性引进高层次人才需求学科或专业</w:t>
      </w:r>
    </w:p>
    <w:tbl>
      <w:tblPr>
        <w:tblStyle w:val="2"/>
        <w:tblW w:w="9710" w:type="dxa"/>
        <w:jc w:val="center"/>
        <w:tblLayout w:type="fixed"/>
        <w:tblCellMar>
          <w:top w:w="0" w:type="dxa"/>
          <w:left w:w="0" w:type="dxa"/>
          <w:bottom w:w="0" w:type="dxa"/>
          <w:right w:w="0" w:type="dxa"/>
        </w:tblCellMar>
      </w:tblPr>
      <w:tblGrid>
        <w:gridCol w:w="448"/>
        <w:gridCol w:w="1721"/>
        <w:gridCol w:w="913"/>
        <w:gridCol w:w="3246"/>
        <w:gridCol w:w="2168"/>
        <w:gridCol w:w="1214"/>
      </w:tblGrid>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招聘单位</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需求名额</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需求学科</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需求专业</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备注</w:t>
            </w: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土木与建筑工程学院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建筑学、水利工程、土木工程</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建筑历史与理论、建筑设计及其理论、城市规划与设计、建筑技术科学、水文学及水资源、水力学及河流动力学、水工结构工程、水利水电工程、防灾减灾工程及防护工程、桥梁与隧道工程、岩土工程</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5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生物与化学工程学院（农学院）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作物学、园艺学、农业资源利用</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作物栽培学与耕作学、果树学、蔬菜学、农业资源利用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智能制造学院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交通运输工程、机械工程</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交通信息工程及控制、载运工具运用工程、车辆工程、机械工程、机械设计制造及其自动化、机械电子工程</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81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数学与计算机学院（大数据学院）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计算机科学与技术、软件工程、信息与通信工程、网络空间安全、数学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钒钛学院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材料科学与工程、仪器科学与技术</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材料加工工程、测试计量技术及仪器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83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电气信息工程学院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控制科学与工程、电气工程、信息与通信工程</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电力电子与电力传动、电机与电器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126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7</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基础医学院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基础医学、公共卫生与预防医学、临床医学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人体解剖和组织胚胎学、病原生物学、病理学与病理生理学、流行病与卫生统计学、外科学、内科学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8</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康养学院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临床医学、中医学、公共管理</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护理学、康复医学与理疗学、针灸推拿学、中医内科学、治未病与健康管理</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9</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经济与管理学院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应用经济学、管理科学与工程、工商管理</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国际贸易学、数量经济学、会计学、企业管理、技术经济及管理</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10</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法学院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公共管理、社会学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行政管理、教育经济与管理、社会保障、土地资源管理、公共政策、应急管理、公共组织与人力资源、社会学、人口学、社会工作</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外国语学院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外国语言文学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英语语言文学、外国语言学及应用语言学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艺术学院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设计学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设计艺术学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马克思主义学院（中国特色社会主义理论教育学院）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哲学、马克思主义理论、政治学、心理学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马克思主义哲学、伦理学、思想政治教育、马克思主义中国化、马克思主义发展史、国外马克思主义研究、中外政治制度、中共党史、科学社会主义与国际共产主义运动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文学院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教育学、中国语言文学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汉语国际教育、中国语言文学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汉语国际教育专业可放宽为本硕阶段为汉语国际教育专业的文学博士。中国语言文学专业需硕士阶段为汉语国际教育专业，且有国家公派对外汉语教育相关经历。</w:t>
            </w: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体育部</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pPr>
            <w:r>
              <w:rPr>
                <w:rFonts w:hint="eastAsia" w:ascii="方正黑体_GBK" w:hAnsi="方正黑体_GBK" w:eastAsia="方正黑体_GBK" w:cs="方正黑体_GBK"/>
                <w:kern w:val="0"/>
                <w:szCs w:val="21"/>
              </w:rPr>
              <w:t>体育学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体育教育训练学、民族传统体育学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临床医学院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临床医学</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bl>
    <w:p>
      <w:pPr>
        <w:spacing w:line="320" w:lineRule="exact"/>
        <w:rPr>
          <w:rFonts w:ascii="宋体" w:hAnsi="宋体" w:eastAsia="宋体" w:cs="宋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D7981"/>
    <w:rsid w:val="21BD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2021-03-29T09:15:00Z</dcterms:created>
  <dc:creator>WF</dc:creator>
  <cp:lastModifiedBy>WF</cp:lastModifiedBy>
  <dcterms:modified xsi:type="dcterms:W3CDTF">2021-03-29T09:16:37Z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ED360013F9214D20937E16B9F0735AAD</vt:lpwstr>
  </property>
</Properties>
</file>